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sz w:val="20"/>
          <w:szCs w:val="20"/>
        </w:rPr>
      </w:pPr>
    </w:p>
    <w:p>
      <w:pPr>
        <w:spacing w:before="3" w:after="0" w:line="260" w:lineRule="exact"/>
        <w:rPr>
          <w:sz w:val="26"/>
          <w:szCs w:val="26"/>
        </w:rPr>
      </w:pPr>
    </w:p>
    <w:p>
      <w:pPr>
        <w:spacing w:after="0" w:line="505" w:lineRule="exact"/>
        <w:ind w:left="1340" w:right="1321"/>
        <w:jc w:val="center"/>
        <w:rPr>
          <w:rFonts w:ascii="Microsoft JhengHei" w:hAnsi="Microsoft JhengHei" w:eastAsia="Microsoft JhengHei" w:cs="Microsoft JhengHei"/>
          <w:sz w:val="44"/>
          <w:szCs w:val="44"/>
          <w:lang w:eastAsia="zh-CN"/>
        </w:rPr>
      </w:pPr>
      <w:r>
        <w:rPr>
          <w:rFonts w:hint="eastAsia" w:ascii="Microsoft JhengHei" w:hAnsi="Microsoft JhengHei" w:eastAsia="Microsoft JhengHei" w:cs="Microsoft JhengHei"/>
          <w:w w:val="99"/>
          <w:position w:val="1"/>
          <w:sz w:val="44"/>
          <w:szCs w:val="44"/>
          <w:lang w:eastAsia="zh-CN"/>
        </w:rPr>
        <w:t>桐乡市</w:t>
      </w:r>
      <w:r>
        <w:rPr>
          <w:rFonts w:ascii="Microsoft JhengHei" w:hAnsi="Microsoft JhengHei" w:eastAsia="Microsoft JhengHei" w:cs="Microsoft JhengHei"/>
          <w:spacing w:val="2"/>
          <w:w w:val="99"/>
          <w:position w:val="1"/>
          <w:sz w:val="44"/>
          <w:szCs w:val="44"/>
          <w:lang w:eastAsia="zh-CN"/>
        </w:rPr>
        <w:t>土</w:t>
      </w:r>
      <w:r>
        <w:rPr>
          <w:rFonts w:ascii="Microsoft JhengHei" w:hAnsi="Microsoft JhengHei" w:eastAsia="Microsoft JhengHei" w:cs="Microsoft JhengHei"/>
          <w:w w:val="99"/>
          <w:position w:val="1"/>
          <w:sz w:val="44"/>
          <w:szCs w:val="44"/>
          <w:lang w:eastAsia="zh-CN"/>
        </w:rPr>
        <w:t>壤</w:t>
      </w:r>
      <w:r>
        <w:rPr>
          <w:rFonts w:ascii="Microsoft JhengHei" w:hAnsi="Microsoft JhengHei" w:eastAsia="Microsoft JhengHei" w:cs="Microsoft JhengHei"/>
          <w:spacing w:val="2"/>
          <w:w w:val="99"/>
          <w:position w:val="1"/>
          <w:sz w:val="44"/>
          <w:szCs w:val="44"/>
          <w:lang w:eastAsia="zh-CN"/>
        </w:rPr>
        <w:t>污</w:t>
      </w:r>
      <w:r>
        <w:rPr>
          <w:rFonts w:ascii="Microsoft JhengHei" w:hAnsi="Microsoft JhengHei" w:eastAsia="Microsoft JhengHei" w:cs="Microsoft JhengHei"/>
          <w:w w:val="99"/>
          <w:position w:val="1"/>
          <w:sz w:val="44"/>
          <w:szCs w:val="44"/>
          <w:lang w:eastAsia="zh-CN"/>
        </w:rPr>
        <w:t>染治</w:t>
      </w:r>
      <w:r>
        <w:rPr>
          <w:rFonts w:ascii="Microsoft JhengHei" w:hAnsi="Microsoft JhengHei" w:eastAsia="Microsoft JhengHei" w:cs="Microsoft JhengHei"/>
          <w:spacing w:val="2"/>
          <w:w w:val="99"/>
          <w:position w:val="1"/>
          <w:sz w:val="44"/>
          <w:szCs w:val="44"/>
          <w:lang w:eastAsia="zh-CN"/>
        </w:rPr>
        <w:t>理</w:t>
      </w:r>
      <w:r>
        <w:rPr>
          <w:rFonts w:ascii="Microsoft JhengHei" w:hAnsi="Microsoft JhengHei" w:eastAsia="Microsoft JhengHei" w:cs="Microsoft JhengHei"/>
          <w:w w:val="99"/>
          <w:position w:val="1"/>
          <w:sz w:val="44"/>
          <w:szCs w:val="44"/>
          <w:lang w:eastAsia="zh-CN"/>
        </w:rPr>
        <w:t>与</w:t>
      </w:r>
      <w:r>
        <w:rPr>
          <w:rFonts w:ascii="Microsoft JhengHei" w:hAnsi="Microsoft JhengHei" w:eastAsia="Microsoft JhengHei" w:cs="Microsoft JhengHei"/>
          <w:spacing w:val="2"/>
          <w:w w:val="99"/>
          <w:position w:val="1"/>
          <w:sz w:val="44"/>
          <w:szCs w:val="44"/>
          <w:lang w:eastAsia="zh-CN"/>
        </w:rPr>
        <w:t>修</w:t>
      </w:r>
      <w:r>
        <w:rPr>
          <w:rFonts w:ascii="Microsoft JhengHei" w:hAnsi="Microsoft JhengHei" w:eastAsia="Microsoft JhengHei" w:cs="Microsoft JhengHei"/>
          <w:w w:val="99"/>
          <w:position w:val="1"/>
          <w:sz w:val="44"/>
          <w:szCs w:val="44"/>
          <w:lang w:eastAsia="zh-CN"/>
        </w:rPr>
        <w:t>复成效</w:t>
      </w:r>
    </w:p>
    <w:p>
      <w:pPr>
        <w:spacing w:after="0" w:line="559" w:lineRule="exact"/>
        <w:ind w:left="3102" w:right="3079"/>
        <w:jc w:val="center"/>
        <w:rPr>
          <w:rFonts w:ascii="Microsoft JhengHei" w:hAnsi="Microsoft JhengHei" w:eastAsia="Microsoft JhengHei" w:cs="Microsoft JhengHei"/>
          <w:sz w:val="44"/>
          <w:szCs w:val="44"/>
          <w:lang w:eastAsia="zh-CN"/>
        </w:rPr>
      </w:pPr>
      <w:r>
        <w:rPr>
          <w:rFonts w:ascii="Microsoft JhengHei" w:hAnsi="Microsoft JhengHei" w:eastAsia="Microsoft JhengHei" w:cs="Microsoft JhengHei"/>
          <w:spacing w:val="2"/>
          <w:w w:val="99"/>
          <w:sz w:val="44"/>
          <w:szCs w:val="44"/>
          <w:lang w:eastAsia="zh-CN"/>
        </w:rPr>
        <w:t>技</w:t>
      </w:r>
      <w:r>
        <w:rPr>
          <w:rFonts w:ascii="Microsoft JhengHei" w:hAnsi="Microsoft JhengHei" w:eastAsia="Microsoft JhengHei" w:cs="Microsoft JhengHei"/>
          <w:w w:val="99"/>
          <w:sz w:val="44"/>
          <w:szCs w:val="44"/>
          <w:lang w:eastAsia="zh-CN"/>
        </w:rPr>
        <w:t>术评</w:t>
      </w:r>
      <w:r>
        <w:rPr>
          <w:rFonts w:ascii="Microsoft JhengHei" w:hAnsi="Microsoft JhengHei" w:eastAsia="Microsoft JhengHei" w:cs="Microsoft JhengHei"/>
          <w:spacing w:val="2"/>
          <w:w w:val="99"/>
          <w:sz w:val="44"/>
          <w:szCs w:val="44"/>
          <w:lang w:eastAsia="zh-CN"/>
        </w:rPr>
        <w:t>估</w:t>
      </w:r>
      <w:r>
        <w:rPr>
          <w:rFonts w:ascii="Microsoft JhengHei" w:hAnsi="Microsoft JhengHei" w:eastAsia="Microsoft JhengHei" w:cs="Microsoft JhengHei"/>
          <w:w w:val="99"/>
          <w:sz w:val="44"/>
          <w:szCs w:val="44"/>
          <w:lang w:eastAsia="zh-CN"/>
        </w:rPr>
        <w:t>意见</w:t>
      </w:r>
    </w:p>
    <w:p>
      <w:pPr>
        <w:spacing w:before="10" w:after="0" w:line="130" w:lineRule="exact"/>
        <w:rPr>
          <w:sz w:val="13"/>
          <w:szCs w:val="13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pStyle w:val="4"/>
        <w:shd w:val="clear" w:color="auto" w:fill="FFFFFF"/>
        <w:topLinePunct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</w:rPr>
        <w:t>根据《关于印发土壤污染治理与修复成效技术评估指南（试 行）的通知》（环办土壤函〔2017〕1953 号），现就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桐乡市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近年 来土壤污染治理与修复成效，提出以下技术评估意见：</w:t>
      </w:r>
    </w:p>
    <w:p>
      <w:pPr>
        <w:spacing w:before="42" w:after="0" w:line="240" w:lineRule="auto"/>
        <w:ind w:left="750" w:right="-20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2"/>
          <w:sz w:val="32"/>
          <w:szCs w:val="32"/>
          <w:lang w:eastAsia="zh-CN"/>
        </w:rPr>
        <w:t>一</w:t>
      </w:r>
      <w:r>
        <w:rPr>
          <w:rFonts w:ascii="黑体" w:hAnsi="黑体" w:eastAsia="黑体" w:cs="黑体"/>
          <w:sz w:val="32"/>
          <w:szCs w:val="32"/>
          <w:lang w:eastAsia="zh-CN"/>
        </w:rPr>
        <w:t>、总</w:t>
      </w:r>
      <w:r>
        <w:rPr>
          <w:rFonts w:ascii="黑体" w:hAnsi="黑体" w:eastAsia="黑体" w:cs="黑体"/>
          <w:spacing w:val="2"/>
          <w:sz w:val="32"/>
          <w:szCs w:val="32"/>
          <w:lang w:eastAsia="zh-CN"/>
        </w:rPr>
        <w:t>体</w:t>
      </w:r>
      <w:r>
        <w:rPr>
          <w:rFonts w:ascii="黑体" w:hAnsi="黑体" w:eastAsia="黑体" w:cs="黑体"/>
          <w:sz w:val="32"/>
          <w:szCs w:val="32"/>
          <w:lang w:eastAsia="zh-CN"/>
        </w:rPr>
        <w:t>评价</w:t>
      </w:r>
    </w:p>
    <w:p>
      <w:pPr>
        <w:pStyle w:val="4"/>
        <w:shd w:val="clear" w:color="auto" w:fill="FFFFFF"/>
        <w:topLinePunct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</w:rPr>
        <w:t>2017 年以来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，桐乡市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贯彻落实国家土十条、《浙江省土壤污 染防治工作方案》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狠抓“两个安全利用”落地见效，取得了明显 成效。</w:t>
      </w:r>
    </w:p>
    <w:p>
      <w:pPr>
        <w:pStyle w:val="4"/>
        <w:shd w:val="clear" w:color="auto" w:fill="FFFFFF"/>
        <w:topLinePunct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Ansi="仿宋_GB2312"/>
          <w:color w:val="333333"/>
          <w:sz w:val="32"/>
          <w:szCs w:val="32"/>
          <w:lang w:eastAsia="zh-CN"/>
        </w:rPr>
        <w:t>（一）</w:t>
      </w:r>
      <w:r>
        <w:rPr>
          <w:rFonts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主要目标完成情况</w:t>
      </w: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。</w:t>
      </w:r>
      <w:r>
        <w:rPr>
          <w:rFonts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据初步测算</w:t>
      </w: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，全市无污染地块开发情况</w:t>
      </w:r>
      <w:r>
        <w:rPr>
          <w:rFonts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仿宋_GB2312" w:eastAsia="仿宋_GB2312" w:cs="仿宋_GB2312"/>
          <w:color w:val="333333"/>
          <w:kern w:val="2"/>
          <w:sz w:val="32"/>
          <w:szCs w:val="32"/>
          <w:lang w:val="en-US" w:eastAsia="zh-CN" w:bidi="ar-SA"/>
        </w:rPr>
        <w:t>在省农科院的技术支持下开展全市耕地土壤环境质量划分工作，目前已完成类别划分工作和成果上报工作。根据此次耕地土壤质量类别划分，我市安全利用类耕地以汞中轻度污染为主，涉及2136亩耕地，占89.82%，主要分布于乌镇镇陈家村；此外还存在242亩镉中轻度污染的安全利用类耕地，占10.18%，分布于大麻镇百富村。在安全利用类耕地上水稻种植面积908亩，占安全利用类耕地面积的38.17%。</w:t>
      </w:r>
    </w:p>
    <w:p>
      <w:pPr>
        <w:pStyle w:val="4"/>
        <w:shd w:val="clear" w:color="auto" w:fill="FFFFFF"/>
        <w:topLinePunct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</w:rPr>
        <w:t>（二）污染防治制度建设情况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下发《关于成立桐乡市土壤污染防治工作领导小组的通知》（桐政办发〔2018〕22号），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成立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市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政府主要领导任组长的土壤污染防治领导小组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统筹推进土壤污染防治工作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结合地方实际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出台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《桐乡市土壤污染防治及环境保护方案》，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明确土壤污染防治及环境保护工作内容及职责分工，配套出台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土地出让前土壤污染调查工作通知等政策文件。</w:t>
      </w:r>
    </w:p>
    <w:p>
      <w:pPr>
        <w:pStyle w:val="4"/>
        <w:shd w:val="clear" w:color="auto" w:fill="FFFFFF"/>
        <w:topLinePunct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</w:rPr>
        <w:t>（三）建设用地土壤环境管理情况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组织完成重点企业用地土壤污染状况调查采样检测任务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完成227个地块基础信息调查及21个地块采样分析；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落实建立疑似污染地块名录管理制度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名录中地块54个，均为疑似污染地块，其中14个完成调查；生态环境部门会同自然资源部门严格落实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建设用地“用途变更”环节土壤污染调查要求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建立辖区土壤污染防治重点监管单位清单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督促落实了土壤污染重点监管单位污染隐患排查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地下储罐信息备案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拆除活动污染防治等要求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</w:p>
    <w:p>
      <w:pPr>
        <w:pStyle w:val="4"/>
        <w:shd w:val="clear" w:color="auto" w:fill="FFFFFF"/>
        <w:topLinePunct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bookmarkStart w:id="0" w:name="_GoBack"/>
      <w:bookmarkEnd w:id="0"/>
      <w:r>
        <w:rPr>
          <w:rFonts w:ascii="仿宋_GB2312" w:hAnsi="仿宋_GB2312" w:eastAsia="仿宋_GB2312" w:cs="仿宋_GB2312"/>
          <w:color w:val="333333"/>
          <w:sz w:val="32"/>
          <w:szCs w:val="32"/>
        </w:rPr>
        <w:t>（四）农用地土壤环境管理情况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按要求完成了农用地土壤污染状况调查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耕地土壤环境质量划定任务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</w:p>
    <w:p>
      <w:pPr>
        <w:spacing w:before="53" w:after="0" w:line="240" w:lineRule="auto"/>
        <w:ind w:left="750" w:right="-20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2"/>
          <w:sz w:val="32"/>
          <w:szCs w:val="32"/>
          <w:lang w:eastAsia="zh-CN"/>
        </w:rPr>
        <w:t>二</w:t>
      </w:r>
      <w:r>
        <w:rPr>
          <w:rFonts w:ascii="黑体" w:hAnsi="黑体" w:eastAsia="黑体" w:cs="黑体"/>
          <w:sz w:val="32"/>
          <w:szCs w:val="32"/>
          <w:lang w:eastAsia="zh-CN"/>
        </w:rPr>
        <w:t>、工</w:t>
      </w:r>
      <w:r>
        <w:rPr>
          <w:rFonts w:ascii="黑体" w:hAnsi="黑体" w:eastAsia="黑体" w:cs="黑体"/>
          <w:spacing w:val="2"/>
          <w:sz w:val="32"/>
          <w:szCs w:val="32"/>
          <w:lang w:eastAsia="zh-CN"/>
        </w:rPr>
        <w:t>作</w:t>
      </w:r>
      <w:r>
        <w:rPr>
          <w:rFonts w:ascii="黑体" w:hAnsi="黑体" w:eastAsia="黑体" w:cs="黑体"/>
          <w:sz w:val="32"/>
          <w:szCs w:val="32"/>
          <w:lang w:eastAsia="zh-CN"/>
        </w:rPr>
        <w:t>建议</w:t>
      </w:r>
    </w:p>
    <w:p>
      <w:pPr>
        <w:pStyle w:val="4"/>
        <w:shd w:val="clear" w:color="auto" w:fill="FFFFFF"/>
        <w:topLinePunct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</w:rPr>
        <w:t>（一）加强《土壤法》普法宣传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要将《土壤法》纳入生态环保系统监管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监测和执法等业务培训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做到执法者先懂法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。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 xml:space="preserve"> 要加强对土壤污染重点监管单位的普法宣传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提升其履行防治 土壤污染的责任意识。</w:t>
      </w:r>
    </w:p>
    <w:p>
      <w:pPr>
        <w:pStyle w:val="4"/>
        <w:shd w:val="clear" w:color="auto" w:fill="FFFFFF"/>
        <w:topLinePunct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（二）强化土壤污染源头管控。严格执行重金属污染物总量控制指标，加强对土壤污染重点监管单位的环境监督，督促重点监管单位按土壤法要求落实自行监测、隐患排查、和拆除污染防治等责任。</w:t>
      </w:r>
    </w:p>
    <w:p>
      <w:pPr>
        <w:spacing w:before="45" w:after="0" w:line="244" w:lineRule="auto"/>
        <w:ind w:right="3" w:firstLine="640" w:firstLineChars="200"/>
        <w:jc w:val="both"/>
        <w:rPr>
          <w:rFonts w:ascii="Microsoft JhengHei" w:hAnsi="Microsoft JhengHei" w:cs="Microsoft JhengHei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（三）加强建设用地土壤环境管理。结合重点行业企业土壤污染状况调查，完善疑似污染地块监管，保障用地变更地块应调查尽调查，加强污染地块再开发利用监管，确保污染地块安全利用。</w:t>
      </w:r>
    </w:p>
    <w:p>
      <w:pPr>
        <w:pStyle w:val="4"/>
        <w:shd w:val="clear" w:color="auto" w:fill="FFFFFF"/>
        <w:topLinePunct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sz w:val="32"/>
          <w:szCs w:val="32"/>
        </w:rPr>
        <w:t>（四）深化涉土污染源综合防治。开展耕地土壤污染溯源排查整治，逐年滚动推进受污染耕地周边工矿污染源排查，对查明影响耕地土壤环境质量的，要依法落实减排或治理措施。优化土壤污染重点监管单位名录，督促重点单位落实有毒有害物质排放报告、污染隐患排查、用地土壤和地下水自行监测、拆除污染防治等法定义务。</w:t>
      </w:r>
    </w:p>
    <w:sectPr>
      <w:pgSz w:w="11920" w:h="16840"/>
      <w:pgMar w:top="1560" w:right="1480" w:bottom="280" w:left="1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8452A"/>
    <w:rsid w:val="002961EA"/>
    <w:rsid w:val="002B1DA6"/>
    <w:rsid w:val="002D3607"/>
    <w:rsid w:val="00300AF4"/>
    <w:rsid w:val="00333D25"/>
    <w:rsid w:val="00376FD8"/>
    <w:rsid w:val="003C6F7B"/>
    <w:rsid w:val="004D30FB"/>
    <w:rsid w:val="00511CF8"/>
    <w:rsid w:val="00874442"/>
    <w:rsid w:val="0088452A"/>
    <w:rsid w:val="00AD1943"/>
    <w:rsid w:val="00B51DB7"/>
    <w:rsid w:val="1D7E6E42"/>
    <w:rsid w:val="4799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next w:val="1"/>
    <w:qFormat/>
    <w:uiPriority w:val="99"/>
    <w:pPr>
      <w:adjustRightInd w:val="0"/>
      <w:snapToGrid w:val="0"/>
      <w:spacing w:before="100" w:beforeAutospacing="1" w:after="100" w:afterAutospacing="1" w:line="240" w:lineRule="auto"/>
      <w:jc w:val="both"/>
    </w:pPr>
    <w:rPr>
      <w:rFonts w:ascii="宋体" w:hAnsi="宋体" w:eastAsia="微软雅黑" w:cs="宋体"/>
      <w:kern w:val="2"/>
      <w:sz w:val="24"/>
      <w:szCs w:val="24"/>
      <w:lang w:eastAsia="zh-CN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仿宋_GB2312" w:eastAsia="仿宋_GB2312" w:cs="仿宋_GB2312" w:hAnsiTheme="minorHAnsi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802</Characters>
  <Lines>6</Lines>
  <Paragraphs>1</Paragraphs>
  <TotalTime>3</TotalTime>
  <ScaleCrop>false</ScaleCrop>
  <LinksUpToDate>false</LinksUpToDate>
  <CharactersWithSpaces>941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2020-12-28T23:40:00Z</dcterms:created>
  <dc:creator>韩立</dc:creator>
  <cp:lastModifiedBy>van</cp:lastModifiedBy>
  <dcterms:modified xsi:type="dcterms:W3CDTF">2020-12-29T00:50:08Z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LastSaved">
    <vt:filetime>2020-12-28T00:00:00Z</vt:filetime>
  </property>
  <property fmtid="{D5CDD505-2E9C-101B-9397-08002B2CF9AE}" pid="4" name="KSOProductBuildVer">
    <vt:lpwstr>2052-11.1.0.10228</vt:lpwstr>
  </property>
</Properties>
</file>