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嘉兴市建设用地土壤污染风险管控和修复名录（</w:t>
      </w:r>
      <w:r>
        <w:rPr>
          <w:rFonts w:hint="eastAsia" w:ascii="方正小标宋简体" w:hAnsi="方正小标宋简体" w:eastAsia="方正小标宋简体" w:cs="方正小标宋简体"/>
          <w:sz w:val="44"/>
          <w:szCs w:val="44"/>
          <w:lang w:val="en-US" w:eastAsia="zh-CN"/>
        </w:rPr>
        <w:t>2023年3月</w:t>
      </w:r>
      <w:bookmarkStart w:id="0" w:name="_GoBack"/>
      <w:bookmarkEnd w:id="0"/>
      <w:r>
        <w:rPr>
          <w:rFonts w:hint="eastAsia" w:ascii="方正小标宋简体" w:hAnsi="方正小标宋简体" w:eastAsia="方正小标宋简体" w:cs="方正小标宋简体"/>
          <w:sz w:val="44"/>
          <w:szCs w:val="44"/>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036"/>
        <w:gridCol w:w="1515"/>
        <w:gridCol w:w="1353"/>
        <w:gridCol w:w="3012"/>
        <w:gridCol w:w="1305"/>
        <w:gridCol w:w="1575"/>
        <w:gridCol w:w="1530"/>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0"/>
            <w:vAlign w:val="center"/>
          </w:tcPr>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序号</w:t>
            </w:r>
          </w:p>
        </w:tc>
        <w:tc>
          <w:tcPr>
            <w:tcW w:w="1036" w:type="dxa"/>
            <w:noWrap w:val="0"/>
            <w:vAlign w:val="center"/>
          </w:tcPr>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县（市、区）</w:t>
            </w:r>
          </w:p>
        </w:tc>
        <w:tc>
          <w:tcPr>
            <w:tcW w:w="1515" w:type="dxa"/>
            <w:noWrap w:val="0"/>
            <w:vAlign w:val="center"/>
          </w:tcPr>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地块名称</w:t>
            </w:r>
          </w:p>
        </w:tc>
        <w:tc>
          <w:tcPr>
            <w:tcW w:w="1353" w:type="dxa"/>
            <w:noWrap w:val="0"/>
            <w:vAlign w:val="center"/>
          </w:tcPr>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地块位置（地址）</w:t>
            </w:r>
          </w:p>
        </w:tc>
        <w:tc>
          <w:tcPr>
            <w:tcW w:w="3012" w:type="dxa"/>
            <w:noWrap w:val="0"/>
            <w:vAlign w:val="center"/>
          </w:tcPr>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四至范围</w:t>
            </w:r>
          </w:p>
        </w:tc>
        <w:tc>
          <w:tcPr>
            <w:tcW w:w="1305" w:type="dxa"/>
            <w:noWrap w:val="0"/>
            <w:vAlign w:val="center"/>
          </w:tcPr>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地块面积</w:t>
            </w:r>
          </w:p>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（m</w:t>
            </w:r>
            <w:r>
              <w:rPr>
                <w:rFonts w:hint="eastAsia" w:ascii="方正小标宋简体" w:hAnsi="方正小标宋简体" w:eastAsia="方正小标宋简体" w:cs="方正小标宋简体"/>
                <w:sz w:val="24"/>
                <w:szCs w:val="24"/>
                <w:vertAlign w:val="superscript"/>
                <w:lang w:eastAsia="zh-CN"/>
              </w:rPr>
              <w:t>2</w:t>
            </w:r>
            <w:r>
              <w:rPr>
                <w:rFonts w:hint="eastAsia" w:ascii="方正小标宋简体" w:hAnsi="方正小标宋简体" w:eastAsia="方正小标宋简体" w:cs="方正小标宋简体"/>
                <w:sz w:val="24"/>
                <w:szCs w:val="24"/>
                <w:vertAlign w:val="baseline"/>
                <w:lang w:eastAsia="zh-CN"/>
              </w:rPr>
              <w:t>）</w:t>
            </w:r>
          </w:p>
        </w:tc>
        <w:tc>
          <w:tcPr>
            <w:tcW w:w="1575" w:type="dxa"/>
            <w:noWrap w:val="0"/>
            <w:vAlign w:val="center"/>
          </w:tcPr>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土地使用</w:t>
            </w:r>
          </w:p>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权人（责</w:t>
            </w:r>
          </w:p>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任人）</w:t>
            </w:r>
          </w:p>
        </w:tc>
        <w:tc>
          <w:tcPr>
            <w:tcW w:w="1530" w:type="dxa"/>
            <w:noWrap w:val="0"/>
            <w:vAlign w:val="center"/>
          </w:tcPr>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是否属地</w:t>
            </w:r>
          </w:p>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下水污染</w:t>
            </w:r>
          </w:p>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场地</w:t>
            </w:r>
          </w:p>
        </w:tc>
        <w:tc>
          <w:tcPr>
            <w:tcW w:w="2203" w:type="dxa"/>
            <w:noWrap w:val="0"/>
            <w:vAlign w:val="center"/>
          </w:tcPr>
          <w:p>
            <w:pPr>
              <w:keepNext w:val="0"/>
              <w:keepLines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036"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海宁市</w:t>
            </w:r>
          </w:p>
        </w:tc>
        <w:tc>
          <w:tcPr>
            <w:tcW w:w="1515"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上林村制革污泥堆场地块</w:t>
            </w:r>
          </w:p>
        </w:tc>
        <w:tc>
          <w:tcPr>
            <w:tcW w:w="1353"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嘉兴海宁市周王庙镇东北部</w:t>
            </w:r>
          </w:p>
        </w:tc>
        <w:tc>
          <w:tcPr>
            <w:tcW w:w="3012"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地块位于上林村10组，东侧紧邻浙江富邦集团有限公司围墙，南侧为俞家埭，西侧和北侧均为农作物种植地；2#地块位于上林村6组，东侧和南侧均为农作物种植地，西侧和北侧均紧邻河流；3#地块位于上林村5组，北侧紧邻河流，南侧为农作物种植地。</w:t>
            </w:r>
          </w:p>
        </w:tc>
        <w:tc>
          <w:tcPr>
            <w:tcW w:w="130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20000</w:t>
            </w:r>
          </w:p>
        </w:tc>
        <w:tc>
          <w:tcPr>
            <w:tcW w:w="1575"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海宁市周王庙镇上林股份经济合作社</w:t>
            </w:r>
          </w:p>
        </w:tc>
        <w:tc>
          <w:tcPr>
            <w:tcW w:w="153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否</w:t>
            </w:r>
          </w:p>
        </w:tc>
        <w:tc>
          <w:tcPr>
            <w:tcW w:w="2203"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4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036"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海宁市</w:t>
            </w:r>
          </w:p>
        </w:tc>
        <w:tc>
          <w:tcPr>
            <w:tcW w:w="1515"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海宁和平化工有限公</w:t>
            </w:r>
          </w:p>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司污染地块</w:t>
            </w:r>
          </w:p>
        </w:tc>
        <w:tc>
          <w:tcPr>
            <w:tcW w:w="1353"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嘉兴海宁市海洲街道</w:t>
            </w:r>
          </w:p>
        </w:tc>
        <w:tc>
          <w:tcPr>
            <w:tcW w:w="3012"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伊桥村 广顺路以东、西山路以南、杨园路以西、伊桥一里以北</w:t>
            </w:r>
          </w:p>
        </w:tc>
        <w:tc>
          <w:tcPr>
            <w:tcW w:w="130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11203</w:t>
            </w:r>
          </w:p>
        </w:tc>
        <w:tc>
          <w:tcPr>
            <w:tcW w:w="1575"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海宁市土地开发有限公司</w:t>
            </w:r>
          </w:p>
        </w:tc>
        <w:tc>
          <w:tcPr>
            <w:tcW w:w="153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否</w:t>
            </w:r>
          </w:p>
        </w:tc>
        <w:tc>
          <w:tcPr>
            <w:tcW w:w="2203"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4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036" w:type="dxa"/>
            <w:noWrap w:val="0"/>
            <w:vAlign w:val="center"/>
          </w:tcPr>
          <w:p>
            <w:pPr>
              <w:keepNext w:val="0"/>
              <w:keepLines w:val="0"/>
              <w:widowControl w:val="0"/>
              <w:suppressLineNumbers w:val="0"/>
              <w:spacing w:before="0" w:beforeAutospacing="0" w:after="0" w:afterAutospacing="0"/>
              <w:ind w:left="0" w:leftChars="0" w:right="0" w:rightChars="0"/>
              <w:jc w:val="both"/>
              <w:rPr>
                <w:rFonts w:hint="default" w:ascii="仿宋_GB2312" w:hAnsi="仿宋_GB2312" w:eastAsia="仿宋_GB2312" w:cs="仿宋_GB2312"/>
                <w:color w:val="auto"/>
                <w:sz w:val="24"/>
                <w:szCs w:val="24"/>
                <w:vertAlign w:val="baseline"/>
                <w:lang w:val="en-US" w:eastAsia="zh-CN"/>
              </w:rPr>
            </w:pPr>
            <w:r>
              <w:rPr>
                <w:rFonts w:hint="eastAsia" w:ascii="仿宋_GB2312" w:hAnsi="Calibri" w:eastAsia="仿宋_GB2312" w:cs="仿宋_GB2312"/>
                <w:kern w:val="2"/>
                <w:sz w:val="24"/>
                <w:szCs w:val="24"/>
                <w:lang w:val="en-US" w:eastAsia="zh-CN" w:bidi="ar"/>
              </w:rPr>
              <w:t>平湖市</w:t>
            </w:r>
          </w:p>
        </w:tc>
        <w:tc>
          <w:tcPr>
            <w:tcW w:w="1515" w:type="dxa"/>
            <w:noWrap w:val="0"/>
            <w:vAlign w:val="center"/>
          </w:tcPr>
          <w:p>
            <w:pPr>
              <w:keepNext w:val="0"/>
              <w:keepLines w:val="0"/>
              <w:widowControl w:val="0"/>
              <w:suppressLineNumbers w:val="0"/>
              <w:spacing w:before="0" w:beforeAutospacing="0" w:after="0" w:afterAutospacing="0"/>
              <w:ind w:left="0" w:leftChars="0" w:right="0" w:rightChars="0"/>
              <w:jc w:val="both"/>
              <w:rPr>
                <w:rFonts w:hint="default" w:ascii="仿宋_GB2312" w:hAnsi="仿宋_GB2312" w:eastAsia="仿宋_GB2312" w:cs="仿宋_GB2312"/>
                <w:color w:val="auto"/>
                <w:sz w:val="24"/>
                <w:szCs w:val="24"/>
                <w:vertAlign w:val="baseline"/>
                <w:lang w:val="en-US" w:eastAsia="zh-CN"/>
              </w:rPr>
            </w:pPr>
            <w:r>
              <w:rPr>
                <w:rFonts w:hint="eastAsia" w:ascii="仿宋_GB2312" w:hAnsi="Calibri" w:eastAsia="仿宋_GB2312" w:cs="仿宋_GB2312"/>
                <w:kern w:val="2"/>
                <w:sz w:val="24"/>
                <w:szCs w:val="24"/>
                <w:lang w:val="en-US" w:eastAsia="zh-CN" w:bidi="ar"/>
              </w:rPr>
              <w:t>平湖市海达精细化工有限公司退役地块</w:t>
            </w:r>
          </w:p>
        </w:tc>
        <w:tc>
          <w:tcPr>
            <w:tcW w:w="1353"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vertAlign w:val="baseline"/>
                <w:lang w:eastAsia="zh-CN"/>
              </w:rPr>
            </w:pPr>
            <w:r>
              <w:rPr>
                <w:rFonts w:hint="eastAsia" w:ascii="仿宋_GB2312" w:hAnsi="Calibri" w:eastAsia="仿宋_GB2312" w:cs="仿宋_GB2312"/>
                <w:kern w:val="2"/>
                <w:sz w:val="24"/>
                <w:szCs w:val="24"/>
                <w:lang w:val="en-US" w:eastAsia="zh-CN" w:bidi="ar"/>
              </w:rPr>
              <w:t>嘉兴广陈镇月渡湾</w:t>
            </w:r>
          </w:p>
        </w:tc>
        <w:tc>
          <w:tcPr>
            <w:tcW w:w="3012"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vertAlign w:val="baseline"/>
                <w:lang w:eastAsia="zh-CN"/>
              </w:rPr>
            </w:pPr>
            <w:r>
              <w:rPr>
                <w:rFonts w:hint="eastAsia" w:ascii="仿宋_GB2312" w:hAnsi="Calibri" w:eastAsia="仿宋_GB2312" w:cs="仿宋_GB2312"/>
                <w:kern w:val="2"/>
                <w:sz w:val="24"/>
                <w:szCs w:val="24"/>
                <w:lang w:val="en-US" w:eastAsia="zh-CN" w:bidi="ar"/>
              </w:rPr>
              <w:t>东侧为农田，南侧为水泥路，西侧为平湖市广轮新型建材有限公司，北侧为六里塘</w:t>
            </w:r>
          </w:p>
        </w:tc>
        <w:tc>
          <w:tcPr>
            <w:tcW w:w="13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sz w:val="24"/>
                <w:szCs w:val="24"/>
                <w:vertAlign w:val="baseline"/>
                <w:lang w:eastAsia="zh-CN"/>
              </w:rPr>
            </w:pPr>
            <w:r>
              <w:rPr>
                <w:rFonts w:hint="eastAsia" w:ascii="仿宋_GB2312" w:hAnsi="Calibri" w:eastAsia="仿宋_GB2312" w:cs="仿宋_GB2312"/>
                <w:kern w:val="2"/>
                <w:sz w:val="24"/>
                <w:szCs w:val="24"/>
                <w:lang w:val="en-US" w:eastAsia="zh-CN" w:bidi="ar"/>
              </w:rPr>
              <w:t>30510.6</w:t>
            </w:r>
          </w:p>
        </w:tc>
        <w:tc>
          <w:tcPr>
            <w:tcW w:w="1575"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vertAlign w:val="baseline"/>
                <w:lang w:eastAsia="zh-CN"/>
              </w:rPr>
            </w:pPr>
            <w:r>
              <w:rPr>
                <w:rFonts w:hint="eastAsia" w:ascii="仿宋_GB2312" w:hAnsi="Calibri" w:eastAsia="仿宋_GB2312" w:cs="仿宋_GB2312"/>
                <w:kern w:val="2"/>
                <w:sz w:val="24"/>
                <w:szCs w:val="24"/>
                <w:lang w:val="en-US" w:eastAsia="zh-CN" w:bidi="ar"/>
              </w:rPr>
              <w:t>平湖市广陈镇人民政府</w:t>
            </w:r>
          </w:p>
        </w:tc>
        <w:tc>
          <w:tcPr>
            <w:tcW w:w="153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Calibri" w:eastAsia="仿宋_GB2312" w:cs="仿宋_GB2312"/>
                <w:kern w:val="2"/>
                <w:sz w:val="24"/>
                <w:szCs w:val="24"/>
                <w:lang w:val="en-US" w:eastAsia="zh-CN" w:bidi="ar"/>
              </w:rPr>
              <w:t>否</w:t>
            </w:r>
          </w:p>
        </w:tc>
        <w:tc>
          <w:tcPr>
            <w:tcW w:w="2203" w:type="dxa"/>
            <w:noWrap w:val="0"/>
            <w:vAlign w:val="center"/>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036"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Calibri" w:eastAsia="仿宋_GB2312" w:cs="仿宋_GB2312"/>
                <w:kern w:val="2"/>
                <w:sz w:val="24"/>
                <w:szCs w:val="24"/>
                <w:lang w:val="en-US" w:eastAsia="zh-CN" w:bidi="ar"/>
              </w:rPr>
              <w:t>海盐县</w:t>
            </w:r>
          </w:p>
        </w:tc>
        <w:tc>
          <w:tcPr>
            <w:tcW w:w="1515" w:type="dxa"/>
            <w:noWrap w:val="0"/>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浙江嘉兴中达集团有限责任公司（不锈钢管</w:t>
            </w:r>
          </w:p>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Calibri" w:eastAsia="仿宋_GB2312" w:cs="仿宋_GB2312"/>
                <w:kern w:val="2"/>
                <w:sz w:val="24"/>
                <w:szCs w:val="24"/>
                <w:lang w:val="en-US" w:eastAsia="zh-CN" w:bidi="ar"/>
              </w:rPr>
              <w:t>分厂）</w:t>
            </w:r>
          </w:p>
        </w:tc>
        <w:tc>
          <w:tcPr>
            <w:tcW w:w="1353"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嘉兴市海盐县百步镇</w:t>
            </w:r>
          </w:p>
        </w:tc>
        <w:tc>
          <w:tcPr>
            <w:tcW w:w="3012"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东至王石线商铺，南至百禾路，西侧和北侧均为空地</w:t>
            </w:r>
          </w:p>
        </w:tc>
        <w:tc>
          <w:tcPr>
            <w:tcW w:w="13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18200</w:t>
            </w:r>
          </w:p>
        </w:tc>
        <w:tc>
          <w:tcPr>
            <w:tcW w:w="1575"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海盐县百步镇城镇建设发展有限公司</w:t>
            </w:r>
          </w:p>
        </w:tc>
        <w:tc>
          <w:tcPr>
            <w:tcW w:w="153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是</w:t>
            </w:r>
          </w:p>
        </w:tc>
        <w:tc>
          <w:tcPr>
            <w:tcW w:w="2203"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036"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Calibri" w:eastAsia="仿宋_GB2312" w:cs="仿宋_GB2312"/>
                <w:kern w:val="2"/>
                <w:sz w:val="24"/>
                <w:szCs w:val="24"/>
                <w:lang w:val="en-US" w:eastAsia="zh-CN" w:bidi="ar"/>
              </w:rPr>
              <w:t>秀洲区</w:t>
            </w:r>
          </w:p>
        </w:tc>
        <w:tc>
          <w:tcPr>
            <w:tcW w:w="1515"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Calibri" w:eastAsia="仿宋_GB2312" w:cs="仿宋_GB2312"/>
                <w:kern w:val="2"/>
                <w:sz w:val="24"/>
                <w:szCs w:val="24"/>
                <w:lang w:val="en-US" w:eastAsia="zh-CN" w:bidi="ar"/>
              </w:rPr>
              <w:t>原嘉兴汇源纺织染整有限公司（三期）退役场地</w:t>
            </w:r>
          </w:p>
        </w:tc>
        <w:tc>
          <w:tcPr>
            <w:tcW w:w="1353"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嘉兴市秀洲区油车港镇正阳西路 159号</w:t>
            </w:r>
          </w:p>
        </w:tc>
        <w:tc>
          <w:tcPr>
            <w:tcW w:w="3012"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东至河流（长纤路港），北至家家乐废水处理站，西至天森纸业有限公司，南至汇源路</w:t>
            </w:r>
          </w:p>
        </w:tc>
        <w:tc>
          <w:tcPr>
            <w:tcW w:w="13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17666</w:t>
            </w:r>
          </w:p>
        </w:tc>
        <w:tc>
          <w:tcPr>
            <w:tcW w:w="1575"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嘉兴市麟湖控股集团有限公司</w:t>
            </w:r>
          </w:p>
        </w:tc>
        <w:tc>
          <w:tcPr>
            <w:tcW w:w="153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否</w:t>
            </w:r>
          </w:p>
        </w:tc>
        <w:tc>
          <w:tcPr>
            <w:tcW w:w="2203"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036"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Calibri" w:eastAsia="仿宋_GB2312" w:cs="仿宋_GB2312"/>
                <w:kern w:val="2"/>
                <w:sz w:val="24"/>
                <w:szCs w:val="24"/>
                <w:lang w:val="en-US" w:eastAsia="zh-CN" w:bidi="ar"/>
              </w:rPr>
              <w:t>南湖区</w:t>
            </w:r>
          </w:p>
        </w:tc>
        <w:tc>
          <w:tcPr>
            <w:tcW w:w="1515"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Calibri" w:eastAsia="仿宋_GB2312" w:cs="仿宋_GB2312"/>
                <w:kern w:val="2"/>
                <w:sz w:val="24"/>
                <w:szCs w:val="24"/>
                <w:lang w:val="en-US" w:eastAsia="zh-CN" w:bidi="ar"/>
              </w:rPr>
              <w:t>新丰镇乌桥村潭子塘堆场地块</w:t>
            </w:r>
          </w:p>
        </w:tc>
        <w:tc>
          <w:tcPr>
            <w:tcW w:w="1353"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嘉兴市新丰镇乌桥村潭子塘组</w:t>
            </w:r>
          </w:p>
        </w:tc>
        <w:tc>
          <w:tcPr>
            <w:tcW w:w="3012"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东至西油车港，南至平湖塘，西至潭子塘组田，北至王家浜组田</w:t>
            </w:r>
          </w:p>
        </w:tc>
        <w:tc>
          <w:tcPr>
            <w:tcW w:w="13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47000</w:t>
            </w:r>
          </w:p>
        </w:tc>
        <w:tc>
          <w:tcPr>
            <w:tcW w:w="1575"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乌桥村村委</w:t>
            </w:r>
          </w:p>
        </w:tc>
        <w:tc>
          <w:tcPr>
            <w:tcW w:w="153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否</w:t>
            </w:r>
          </w:p>
        </w:tc>
        <w:tc>
          <w:tcPr>
            <w:tcW w:w="2203"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036"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Calibri" w:eastAsia="仿宋_GB2312" w:cs="仿宋_GB2312"/>
                <w:kern w:val="2"/>
                <w:sz w:val="24"/>
                <w:szCs w:val="24"/>
                <w:lang w:val="en-US" w:eastAsia="zh-CN" w:bidi="ar"/>
              </w:rPr>
              <w:t>海宁市</w:t>
            </w:r>
          </w:p>
        </w:tc>
        <w:tc>
          <w:tcPr>
            <w:tcW w:w="1515"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Calibri" w:eastAsia="仿宋_GB2312" w:cs="仿宋_GB2312"/>
                <w:kern w:val="2"/>
                <w:sz w:val="24"/>
                <w:szCs w:val="24"/>
                <w:lang w:val="en-US" w:eastAsia="zh-CN" w:bidi="ar"/>
              </w:rPr>
              <w:t>海宁德尔化工有限公司地块</w:t>
            </w:r>
          </w:p>
        </w:tc>
        <w:tc>
          <w:tcPr>
            <w:tcW w:w="1353"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海宁市长安镇高新技术开发区聆涛路7号</w:t>
            </w:r>
          </w:p>
        </w:tc>
        <w:tc>
          <w:tcPr>
            <w:tcW w:w="3012"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东至浙江信达可恩消防实业有限责任公司和海宁市高博特种纤维有限公司、北至园区道路、西至海宁金格莱德纺织科技有限公司和旭刚车业有限公司，南至聆涛路</w:t>
            </w:r>
          </w:p>
        </w:tc>
        <w:tc>
          <w:tcPr>
            <w:tcW w:w="13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37472</w:t>
            </w:r>
          </w:p>
        </w:tc>
        <w:tc>
          <w:tcPr>
            <w:tcW w:w="1575"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海宁德尔化工有限公司</w:t>
            </w:r>
          </w:p>
        </w:tc>
        <w:tc>
          <w:tcPr>
            <w:tcW w:w="153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szCs w:val="24"/>
                <w:vertAlign w:val="baseline"/>
                <w:lang w:eastAsia="zh-CN"/>
              </w:rPr>
            </w:pPr>
            <w:r>
              <w:rPr>
                <w:rFonts w:hint="eastAsia" w:ascii="仿宋_GB2312" w:hAnsi="Calibri" w:eastAsia="仿宋_GB2312" w:cs="仿宋_GB2312"/>
                <w:kern w:val="2"/>
                <w:sz w:val="24"/>
                <w:szCs w:val="24"/>
                <w:lang w:val="en-US" w:eastAsia="zh-CN" w:bidi="ar"/>
              </w:rPr>
              <w:t>否</w:t>
            </w:r>
          </w:p>
        </w:tc>
        <w:tc>
          <w:tcPr>
            <w:tcW w:w="2203"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方正小标宋简体" w:hAnsi="方正小标宋简体" w:eastAsia="方正小标宋简体" w:cs="方正小标宋简体"/>
          <w:sz w:val="44"/>
          <w:szCs w:val="44"/>
          <w:lang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YzFhMWJhYzZiZjY5NDE1Y2FlNzQxNDM1NzcxZWQifQ=="/>
    <w:docVar w:name="KSO_WPS_MARK_KEY" w:val="4262a0f1-cf3e-4eaf-bc09-a38e580d636d"/>
  </w:docVars>
  <w:rsids>
    <w:rsidRoot w:val="5FBCA9B3"/>
    <w:rsid w:val="023FB8F1"/>
    <w:rsid w:val="19151AC7"/>
    <w:rsid w:val="1EDF783F"/>
    <w:rsid w:val="1F614D21"/>
    <w:rsid w:val="2265761B"/>
    <w:rsid w:val="268F2EB8"/>
    <w:rsid w:val="26A12BEB"/>
    <w:rsid w:val="2758774E"/>
    <w:rsid w:val="2B942D1F"/>
    <w:rsid w:val="2E020414"/>
    <w:rsid w:val="2ED7364E"/>
    <w:rsid w:val="3333106F"/>
    <w:rsid w:val="34F605A6"/>
    <w:rsid w:val="3ACF82D5"/>
    <w:rsid w:val="3FB9128E"/>
    <w:rsid w:val="3FF2BEAD"/>
    <w:rsid w:val="403C77B5"/>
    <w:rsid w:val="42B5384F"/>
    <w:rsid w:val="4C285C79"/>
    <w:rsid w:val="52EED503"/>
    <w:rsid w:val="581110D0"/>
    <w:rsid w:val="583D7BC5"/>
    <w:rsid w:val="5FBCA9B3"/>
    <w:rsid w:val="5FFDD793"/>
    <w:rsid w:val="60C43183"/>
    <w:rsid w:val="66C2705D"/>
    <w:rsid w:val="6FFFF81C"/>
    <w:rsid w:val="73A17354"/>
    <w:rsid w:val="73F27BAF"/>
    <w:rsid w:val="7AABFB08"/>
    <w:rsid w:val="7BB774E4"/>
    <w:rsid w:val="7BB7E024"/>
    <w:rsid w:val="7BC7D6B7"/>
    <w:rsid w:val="7D67516A"/>
    <w:rsid w:val="7F3F0592"/>
    <w:rsid w:val="7F9EE342"/>
    <w:rsid w:val="7FCE14D1"/>
    <w:rsid w:val="7FCF93F1"/>
    <w:rsid w:val="7FD744B4"/>
    <w:rsid w:val="ABEFB2C6"/>
    <w:rsid w:val="D27A712B"/>
    <w:rsid w:val="DDF5997C"/>
    <w:rsid w:val="E9BF6C0F"/>
    <w:rsid w:val="EBF9CCF6"/>
    <w:rsid w:val="FA7FC40C"/>
    <w:rsid w:val="FDEB8EF8"/>
    <w:rsid w:val="FF7EF6F9"/>
    <w:rsid w:val="FFEF6E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table" w:styleId="5">
    <w:name w:val="Table Grid"/>
    <w:basedOn w:val="4"/>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800</Words>
  <Characters>849</Characters>
  <Lines>1</Lines>
  <Paragraphs>1</Paragraphs>
  <TotalTime>1</TotalTime>
  <ScaleCrop>false</ScaleCrop>
  <LinksUpToDate>false</LinksUpToDate>
  <CharactersWithSpaces>851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2021-09-24T10:11:00Z</dcterms:created>
  <dc:creator>user</dc:creator>
  <cp:lastModifiedBy>田亨文(tianhw)</cp:lastModifiedBy>
  <cp:lastPrinted>2022-09-22T04:25:00Z</cp:lastPrinted>
  <dcterms:modified xsi:type="dcterms:W3CDTF">2023-04-19T10:31:26Z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EC08336AFBAB717B119BDF6269406EB0</vt:lpwstr>
  </property>
</Properties>
</file>